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3DAF" w14:textId="69CEEB21" w:rsidR="00521F70" w:rsidRPr="00C82367" w:rsidRDefault="00521F70" w:rsidP="00C63059">
      <w:pPr>
        <w:ind w:left="142"/>
        <w:jc w:val="center"/>
        <w:rPr>
          <w:b/>
          <w:sz w:val="32"/>
          <w:szCs w:val="32"/>
        </w:rPr>
      </w:pPr>
      <w:r w:rsidRPr="00C82367">
        <w:rPr>
          <w:b/>
          <w:sz w:val="32"/>
          <w:szCs w:val="32"/>
        </w:rPr>
        <w:t xml:space="preserve">Nutzungsbedingungen Uferparzelle am </w:t>
      </w:r>
      <w:proofErr w:type="spellStart"/>
      <w:r w:rsidRPr="00C82367">
        <w:rPr>
          <w:b/>
          <w:sz w:val="32"/>
          <w:szCs w:val="32"/>
        </w:rPr>
        <w:t>Brandstättersee</w:t>
      </w:r>
      <w:proofErr w:type="spellEnd"/>
      <w:r w:rsidR="00B96C16" w:rsidRPr="00C82367">
        <w:rPr>
          <w:b/>
          <w:sz w:val="32"/>
          <w:szCs w:val="32"/>
        </w:rPr>
        <w:t xml:space="preserve"> und Waller-Hotspot 2026</w:t>
      </w:r>
    </w:p>
    <w:p w14:paraId="7D391872" w14:textId="3D4F0FFA" w:rsidR="00113158" w:rsidRDefault="00B96C16" w:rsidP="00113158">
      <w:pPr>
        <w:pStyle w:val="KeinLeerraum"/>
        <w:rPr>
          <w:sz w:val="18"/>
          <w:szCs w:val="18"/>
        </w:rPr>
      </w:pPr>
      <w:r w:rsidRPr="00ED0037">
        <w:rPr>
          <w:sz w:val="18"/>
          <w:szCs w:val="18"/>
        </w:rPr>
        <w:tab/>
        <w:t>---Die</w:t>
      </w:r>
      <w:r w:rsidR="00ED0037" w:rsidRPr="00ED0037">
        <w:rPr>
          <w:sz w:val="18"/>
          <w:szCs w:val="18"/>
        </w:rPr>
        <w:t>se</w:t>
      </w:r>
      <w:r w:rsidRPr="00ED0037">
        <w:rPr>
          <w:sz w:val="18"/>
          <w:szCs w:val="18"/>
        </w:rPr>
        <w:t xml:space="preserve"> Ausfertigung besitzt Ihre Gültigkeit bis </w:t>
      </w:r>
      <w:r w:rsidR="00811E20">
        <w:rPr>
          <w:sz w:val="18"/>
          <w:szCs w:val="18"/>
        </w:rPr>
        <w:t xml:space="preserve">zur </w:t>
      </w:r>
      <w:r w:rsidRPr="00ED0037">
        <w:rPr>
          <w:sz w:val="18"/>
          <w:szCs w:val="18"/>
        </w:rPr>
        <w:t xml:space="preserve">Pachtauflösung </w:t>
      </w:r>
      <w:r w:rsidR="00811E20">
        <w:rPr>
          <w:sz w:val="18"/>
          <w:szCs w:val="18"/>
        </w:rPr>
        <w:t>oder</w:t>
      </w:r>
      <w:r w:rsidRPr="00ED0037">
        <w:rPr>
          <w:sz w:val="18"/>
          <w:szCs w:val="18"/>
        </w:rPr>
        <w:t xml:space="preserve"> bei Neufassung der Pachtbedingungen--- </w:t>
      </w:r>
    </w:p>
    <w:p w14:paraId="224BAB0F" w14:textId="77777777" w:rsidR="00811E20" w:rsidRPr="00452C17" w:rsidRDefault="00811E20" w:rsidP="00113158">
      <w:pPr>
        <w:pStyle w:val="KeinLeerraum"/>
      </w:pPr>
    </w:p>
    <w:p w14:paraId="126BBE42" w14:textId="711BE6F4" w:rsidR="00B02219" w:rsidRPr="00B64EE8" w:rsidRDefault="00B02219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Die Pacht eines Angelplatzes ist an d</w:t>
      </w:r>
      <w:r w:rsidR="00ED0037" w:rsidRPr="00B64EE8">
        <w:rPr>
          <w:sz w:val="20"/>
          <w:szCs w:val="20"/>
        </w:rPr>
        <w:t>em Erwerb</w:t>
      </w:r>
      <w:r w:rsidRPr="00B64EE8">
        <w:rPr>
          <w:sz w:val="20"/>
          <w:szCs w:val="20"/>
        </w:rPr>
        <w:t xml:space="preserve"> einer Sonderlizenz gebunden.</w:t>
      </w:r>
    </w:p>
    <w:p w14:paraId="7808DD89" w14:textId="2726065F" w:rsidR="00DF7430" w:rsidRPr="00B64EE8" w:rsidRDefault="00DF743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Das Nutzungsrecht der Uferparzelle beinhaltet nicht das Recht zu angeln oder zu baden.</w:t>
      </w:r>
    </w:p>
    <w:p w14:paraId="3EFA4AD9" w14:textId="65369F54" w:rsidR="00DF7430" w:rsidRPr="00B64EE8" w:rsidRDefault="00DF743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Für einen bestimmten Zustand bzw. Ausgestaltung der Uferparzelle und des Wassers wird keinerlei Gewähr und Haftung übernommen, auch dann nicht, wenn Schäden durch höhere Gewalt aufgetreten sind.</w:t>
      </w:r>
    </w:p>
    <w:p w14:paraId="29C1B341" w14:textId="5A1897D5" w:rsidR="00DF7430" w:rsidRPr="00B64EE8" w:rsidRDefault="00DF743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Die Laufzeit der Pacht beginnt bei Saisonstart durch Einzahlung des jährlichen Pachtzinses und endet jährlich bei Saisonschluss, ohne dass die Vereinbarung gekündigt werden muss.</w:t>
      </w:r>
    </w:p>
    <w:p w14:paraId="2BC35B60" w14:textId="77777777" w:rsidR="00DF7430" w:rsidRPr="00B64EE8" w:rsidRDefault="00DF743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Der Zutritt zur Anlage bzw. zum Pachtgrund ist außerhalb der Saison und Öffnungszeiten verboten. </w:t>
      </w:r>
    </w:p>
    <w:p w14:paraId="2F5FFEFF" w14:textId="497A9BF9" w:rsidR="00DF7430" w:rsidRPr="00B64EE8" w:rsidRDefault="00DF743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Der Pächter hat jährlich zu Saisonende unaufgefordert eine verbindliche Pachtzusage zu geben.</w:t>
      </w:r>
    </w:p>
    <w:p w14:paraId="46DEC5B3" w14:textId="2C054B59" w:rsidR="00DF7430" w:rsidRPr="00B64EE8" w:rsidRDefault="00DF743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Ohne verbindliche Pachtzusage, wird der Platz ohne Rücksprache neu vergeben. </w:t>
      </w:r>
    </w:p>
    <w:p w14:paraId="08EB7333" w14:textId="59774405" w:rsidR="009F20C0" w:rsidRPr="00B64EE8" w:rsidRDefault="009F20C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Die Vergabe des Pachtgrundes obliegt dem </w:t>
      </w:r>
      <w:r w:rsidR="00ED0037" w:rsidRPr="00B64EE8">
        <w:rPr>
          <w:sz w:val="20"/>
          <w:szCs w:val="20"/>
        </w:rPr>
        <w:t>Bewirtschafter</w:t>
      </w:r>
      <w:r w:rsidRPr="00B64EE8">
        <w:rPr>
          <w:sz w:val="20"/>
          <w:szCs w:val="20"/>
        </w:rPr>
        <w:t>.</w:t>
      </w:r>
    </w:p>
    <w:p w14:paraId="4BAF22D3" w14:textId="3A558DB9" w:rsidR="00AB2001" w:rsidRPr="00B64EE8" w:rsidRDefault="00AB2001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Eine </w:t>
      </w:r>
      <w:r w:rsidR="00ED0037" w:rsidRPr="00B64EE8">
        <w:rPr>
          <w:sz w:val="20"/>
          <w:szCs w:val="20"/>
        </w:rPr>
        <w:t>Afterpacht durch den Lizenznehmer</w:t>
      </w:r>
      <w:r w:rsidRPr="00B64EE8">
        <w:rPr>
          <w:sz w:val="20"/>
          <w:szCs w:val="20"/>
        </w:rPr>
        <w:t xml:space="preserve"> ist </w:t>
      </w:r>
      <w:r w:rsidR="00ED0037" w:rsidRPr="00B64EE8">
        <w:rPr>
          <w:sz w:val="20"/>
          <w:szCs w:val="20"/>
        </w:rPr>
        <w:t>nicht gestattet</w:t>
      </w:r>
      <w:r w:rsidRPr="00B64EE8">
        <w:rPr>
          <w:sz w:val="20"/>
          <w:szCs w:val="20"/>
        </w:rPr>
        <w:t xml:space="preserve">. </w:t>
      </w:r>
    </w:p>
    <w:p w14:paraId="18D7D471" w14:textId="77777777" w:rsidR="00B02219" w:rsidRPr="00B64EE8" w:rsidRDefault="00B02219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Gäste haben das Areal unaufgefordert bis 20 Uhr zu </w:t>
      </w:r>
      <w:r w:rsidR="00B537D1" w:rsidRPr="00B64EE8">
        <w:rPr>
          <w:sz w:val="20"/>
          <w:szCs w:val="20"/>
        </w:rPr>
        <w:t>verlassen</w:t>
      </w:r>
      <w:r w:rsidRPr="00B64EE8">
        <w:rPr>
          <w:sz w:val="20"/>
          <w:szCs w:val="20"/>
        </w:rPr>
        <w:t>.</w:t>
      </w:r>
    </w:p>
    <w:p w14:paraId="618F97A6" w14:textId="6FB0EA56" w:rsidR="00DF7430" w:rsidRPr="00B64EE8" w:rsidRDefault="00DF743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Die Einhaltung der Schrankenbestimmungen laut Homepage und Vordruck laut Beilage Lizenz.</w:t>
      </w:r>
    </w:p>
    <w:p w14:paraId="2A70ED56" w14:textId="77777777" w:rsidR="00AB2001" w:rsidRPr="00B64EE8" w:rsidRDefault="00AB2001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Bei Pachtauflösung </w:t>
      </w:r>
      <w:r w:rsidR="009D7C07" w:rsidRPr="00B64EE8">
        <w:rPr>
          <w:sz w:val="20"/>
          <w:szCs w:val="20"/>
        </w:rPr>
        <w:t>gehen Einrichtungen entgeltlos auf den Verpächter über</w:t>
      </w:r>
      <w:r w:rsidRPr="00B64EE8">
        <w:rPr>
          <w:sz w:val="20"/>
          <w:szCs w:val="20"/>
        </w:rPr>
        <w:t xml:space="preserve">. </w:t>
      </w:r>
    </w:p>
    <w:p w14:paraId="494DB929" w14:textId="77777777" w:rsidR="00566386" w:rsidRPr="00B64EE8" w:rsidRDefault="00566386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B</w:t>
      </w:r>
      <w:r w:rsidR="00AB2001" w:rsidRPr="00B64EE8">
        <w:rPr>
          <w:sz w:val="20"/>
          <w:szCs w:val="20"/>
        </w:rPr>
        <w:t>ei Pacht</w:t>
      </w:r>
      <w:r w:rsidR="00D5303B" w:rsidRPr="00B64EE8">
        <w:rPr>
          <w:sz w:val="20"/>
          <w:szCs w:val="20"/>
        </w:rPr>
        <w:t>auflösung</w:t>
      </w:r>
      <w:r w:rsidR="00AB2001" w:rsidRPr="00B64EE8">
        <w:rPr>
          <w:sz w:val="20"/>
          <w:szCs w:val="20"/>
        </w:rPr>
        <w:t xml:space="preserve"> </w:t>
      </w:r>
      <w:r w:rsidRPr="00B64EE8">
        <w:rPr>
          <w:sz w:val="20"/>
          <w:szCs w:val="20"/>
        </w:rPr>
        <w:t>ist der Platz bis Saisonschluss vollständig geräumt zu übergeben.</w:t>
      </w:r>
    </w:p>
    <w:p w14:paraId="45C52738" w14:textId="77777777" w:rsidR="007B7AC1" w:rsidRPr="00B64EE8" w:rsidRDefault="008F6EF9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D</w:t>
      </w:r>
      <w:r w:rsidR="007B7AC1" w:rsidRPr="00B64EE8">
        <w:rPr>
          <w:sz w:val="20"/>
          <w:szCs w:val="20"/>
        </w:rPr>
        <w:t xml:space="preserve">ie jährliche Zahlung des Pachtzinses hat spätestens </w:t>
      </w:r>
      <w:r w:rsidR="00C95170" w:rsidRPr="00B64EE8">
        <w:rPr>
          <w:sz w:val="20"/>
          <w:szCs w:val="20"/>
        </w:rPr>
        <w:t>8</w:t>
      </w:r>
      <w:r w:rsidR="007B7AC1" w:rsidRPr="00B64EE8">
        <w:rPr>
          <w:sz w:val="20"/>
          <w:szCs w:val="20"/>
        </w:rPr>
        <w:t xml:space="preserve"> Wochen nach Saisonstart zu erfolgen. </w:t>
      </w:r>
    </w:p>
    <w:p w14:paraId="377E7A91" w14:textId="46D01338" w:rsidR="0091595D" w:rsidRPr="00B64EE8" w:rsidRDefault="0091595D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Adaptierungen des Uferbereiches bedürfen der ausdrücklichen Zustimmung des</w:t>
      </w:r>
      <w:r w:rsidR="00ED0037" w:rsidRPr="00B64EE8">
        <w:rPr>
          <w:sz w:val="20"/>
          <w:szCs w:val="20"/>
        </w:rPr>
        <w:t xml:space="preserve"> Bewirtschafters bzw. des Verwalters</w:t>
      </w:r>
      <w:r w:rsidR="00B96C16" w:rsidRPr="00B64EE8">
        <w:rPr>
          <w:sz w:val="20"/>
          <w:szCs w:val="20"/>
        </w:rPr>
        <w:t>.</w:t>
      </w:r>
    </w:p>
    <w:p w14:paraId="0A30E3BF" w14:textId="2C7A1E39" w:rsidR="00521F70" w:rsidRPr="00B64EE8" w:rsidRDefault="00521F7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Der Angelplatz ist </w:t>
      </w:r>
      <w:r w:rsidR="00AB2001" w:rsidRPr="00B64EE8">
        <w:rPr>
          <w:sz w:val="20"/>
          <w:szCs w:val="20"/>
        </w:rPr>
        <w:t xml:space="preserve">auf Kosten des </w:t>
      </w:r>
      <w:r w:rsidR="00ED0037" w:rsidRPr="00B64EE8">
        <w:rPr>
          <w:sz w:val="20"/>
          <w:szCs w:val="20"/>
        </w:rPr>
        <w:t>Lizenznehmers</w:t>
      </w:r>
      <w:r w:rsidR="00AB2001" w:rsidRPr="00B64EE8">
        <w:rPr>
          <w:sz w:val="20"/>
          <w:szCs w:val="20"/>
        </w:rPr>
        <w:t xml:space="preserve"> </w:t>
      </w:r>
      <w:r w:rsidRPr="00B64EE8">
        <w:rPr>
          <w:sz w:val="20"/>
          <w:szCs w:val="20"/>
        </w:rPr>
        <w:t xml:space="preserve">sauber zu halten und zu pflegen. </w:t>
      </w:r>
    </w:p>
    <w:p w14:paraId="109DCC6A" w14:textId="77777777" w:rsidR="00AB2001" w:rsidRPr="00B64EE8" w:rsidRDefault="00AB2001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Mäharbeiten sind von Montag bis Samstag von </w:t>
      </w:r>
      <w:r w:rsidR="002C141F" w:rsidRPr="00B64EE8">
        <w:rPr>
          <w:sz w:val="20"/>
          <w:szCs w:val="20"/>
        </w:rPr>
        <w:t xml:space="preserve">8.30 Uhr bis 11.30 Uhr </w:t>
      </w:r>
      <w:r w:rsidR="00A84A2F" w:rsidRPr="00B64EE8">
        <w:rPr>
          <w:sz w:val="20"/>
          <w:szCs w:val="20"/>
        </w:rPr>
        <w:t>gestattet</w:t>
      </w:r>
      <w:r w:rsidR="002C141F" w:rsidRPr="00B64EE8">
        <w:rPr>
          <w:sz w:val="20"/>
          <w:szCs w:val="20"/>
        </w:rPr>
        <w:t xml:space="preserve">. </w:t>
      </w:r>
    </w:p>
    <w:p w14:paraId="10B7B090" w14:textId="77777777" w:rsidR="002C141F" w:rsidRPr="00B64EE8" w:rsidRDefault="00566386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M</w:t>
      </w:r>
      <w:r w:rsidR="00521F70" w:rsidRPr="00B64EE8">
        <w:rPr>
          <w:sz w:val="20"/>
          <w:szCs w:val="20"/>
        </w:rPr>
        <w:t>üll ist auf eigene Kosten zu en</w:t>
      </w:r>
      <w:r w:rsidRPr="00B64EE8">
        <w:rPr>
          <w:sz w:val="20"/>
          <w:szCs w:val="20"/>
        </w:rPr>
        <w:t>tsorgen und darf keinesfalls auf dem Platz gelagert werden</w:t>
      </w:r>
      <w:r w:rsidR="002C141F" w:rsidRPr="00B64EE8">
        <w:rPr>
          <w:sz w:val="20"/>
          <w:szCs w:val="20"/>
        </w:rPr>
        <w:t>.</w:t>
      </w:r>
    </w:p>
    <w:p w14:paraId="71FD44AC" w14:textId="7893A3EE" w:rsidR="00521F70" w:rsidRPr="00B64EE8" w:rsidRDefault="00566386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Weder</w:t>
      </w:r>
      <w:r w:rsidR="002C141F" w:rsidRPr="00B64EE8">
        <w:rPr>
          <w:sz w:val="20"/>
          <w:szCs w:val="20"/>
        </w:rPr>
        <w:t xml:space="preserve"> </w:t>
      </w:r>
      <w:r w:rsidR="0091595D" w:rsidRPr="00B64EE8">
        <w:rPr>
          <w:sz w:val="20"/>
          <w:szCs w:val="20"/>
        </w:rPr>
        <w:t>Rasenmäher</w:t>
      </w:r>
      <w:r w:rsidR="00AB2001" w:rsidRPr="00B64EE8">
        <w:rPr>
          <w:sz w:val="20"/>
          <w:szCs w:val="20"/>
        </w:rPr>
        <w:t xml:space="preserve"> </w:t>
      </w:r>
      <w:r w:rsidRPr="00B64EE8">
        <w:rPr>
          <w:sz w:val="20"/>
          <w:szCs w:val="20"/>
        </w:rPr>
        <w:t>noch</w:t>
      </w:r>
      <w:r w:rsidR="00AB2001" w:rsidRPr="00B64EE8">
        <w:rPr>
          <w:sz w:val="20"/>
          <w:szCs w:val="20"/>
        </w:rPr>
        <w:t xml:space="preserve"> </w:t>
      </w:r>
      <w:r w:rsidR="00521F70" w:rsidRPr="00B64EE8">
        <w:rPr>
          <w:sz w:val="20"/>
          <w:szCs w:val="20"/>
        </w:rPr>
        <w:t>Treibstoffe</w:t>
      </w:r>
      <w:r w:rsidR="00B02219" w:rsidRPr="00B64EE8">
        <w:rPr>
          <w:sz w:val="20"/>
          <w:szCs w:val="20"/>
        </w:rPr>
        <w:t>,</w:t>
      </w:r>
      <w:r w:rsidR="00521F70" w:rsidRPr="00B64EE8">
        <w:rPr>
          <w:sz w:val="20"/>
          <w:szCs w:val="20"/>
        </w:rPr>
        <w:t xml:space="preserve"> Öle</w:t>
      </w:r>
      <w:r w:rsidR="00B02219" w:rsidRPr="00B64EE8">
        <w:rPr>
          <w:sz w:val="20"/>
          <w:szCs w:val="20"/>
        </w:rPr>
        <w:t>, Düngemittel und Gifte</w:t>
      </w:r>
      <w:r w:rsidR="002C141F" w:rsidRPr="00B64EE8">
        <w:rPr>
          <w:sz w:val="20"/>
          <w:szCs w:val="20"/>
        </w:rPr>
        <w:t xml:space="preserve"> dürfen auf der Parzelle </w:t>
      </w:r>
      <w:r w:rsidR="00B02219" w:rsidRPr="00B64EE8">
        <w:rPr>
          <w:sz w:val="20"/>
          <w:szCs w:val="20"/>
        </w:rPr>
        <w:t xml:space="preserve">verwendet noch </w:t>
      </w:r>
      <w:r w:rsidR="002C141F" w:rsidRPr="00B64EE8">
        <w:rPr>
          <w:sz w:val="20"/>
          <w:szCs w:val="20"/>
        </w:rPr>
        <w:t>gelagert werden.</w:t>
      </w:r>
    </w:p>
    <w:p w14:paraId="1C407BD0" w14:textId="77777777" w:rsidR="002C141F" w:rsidRPr="00B64EE8" w:rsidRDefault="002C141F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Die Verwendung eines Benzinaggregats ist verboten.</w:t>
      </w:r>
    </w:p>
    <w:p w14:paraId="1A933810" w14:textId="0C6028A5" w:rsidR="00521F70" w:rsidRPr="00B64EE8" w:rsidRDefault="00521F7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Die Wurfrichtung ist mit den</w:t>
      </w:r>
      <w:r w:rsidR="00EB784D" w:rsidRPr="00B64EE8">
        <w:rPr>
          <w:sz w:val="20"/>
          <w:szCs w:val="20"/>
        </w:rPr>
        <w:t xml:space="preserve"> jeweils</w:t>
      </w:r>
      <w:r w:rsidRPr="00B64EE8">
        <w:rPr>
          <w:sz w:val="20"/>
          <w:szCs w:val="20"/>
        </w:rPr>
        <w:t xml:space="preserve"> angrenzend</w:t>
      </w:r>
      <w:r w:rsidR="00EB784D" w:rsidRPr="00B64EE8">
        <w:rPr>
          <w:sz w:val="20"/>
          <w:szCs w:val="20"/>
        </w:rPr>
        <w:t xml:space="preserve">en Pächtern im </w:t>
      </w:r>
      <w:r w:rsidR="004420AC" w:rsidRPr="00B64EE8">
        <w:rPr>
          <w:sz w:val="20"/>
          <w:szCs w:val="20"/>
        </w:rPr>
        <w:t>Konsens festzulegen</w:t>
      </w:r>
      <w:r w:rsidRPr="00B64EE8">
        <w:rPr>
          <w:sz w:val="20"/>
          <w:szCs w:val="20"/>
        </w:rPr>
        <w:t>.</w:t>
      </w:r>
    </w:p>
    <w:p w14:paraId="64549AEB" w14:textId="403E5FA5" w:rsidR="00B64EE8" w:rsidRPr="00B64EE8" w:rsidRDefault="00B64EE8" w:rsidP="00B64EE8">
      <w:pPr>
        <w:pStyle w:val="Listenabsatz"/>
        <w:numPr>
          <w:ilvl w:val="0"/>
          <w:numId w:val="3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  </w:t>
      </w:r>
      <w:r w:rsidR="00521F70" w:rsidRPr="00B64EE8">
        <w:rPr>
          <w:sz w:val="20"/>
          <w:szCs w:val="20"/>
        </w:rPr>
        <w:t xml:space="preserve">Die Angelschnüre sind </w:t>
      </w:r>
      <w:r w:rsidR="00B96C16" w:rsidRPr="00B64EE8">
        <w:rPr>
          <w:sz w:val="20"/>
          <w:szCs w:val="20"/>
        </w:rPr>
        <w:t xml:space="preserve">bei Badebetrieb </w:t>
      </w:r>
      <w:r w:rsidR="00521F70" w:rsidRPr="00B64EE8">
        <w:rPr>
          <w:sz w:val="20"/>
          <w:szCs w:val="20"/>
        </w:rPr>
        <w:t>abgesenkt zu halten.</w:t>
      </w:r>
      <w:r w:rsidRPr="00B64EE8">
        <w:rPr>
          <w:sz w:val="20"/>
          <w:szCs w:val="20"/>
        </w:rPr>
        <w:t xml:space="preserve"> </w:t>
      </w:r>
    </w:p>
    <w:p w14:paraId="1CDA6BF9" w14:textId="67A260B2" w:rsidR="0015251D" w:rsidRPr="00B64EE8" w:rsidRDefault="00B64EE8" w:rsidP="00B64EE8">
      <w:pPr>
        <w:pStyle w:val="Listenabsatz"/>
        <w:numPr>
          <w:ilvl w:val="0"/>
          <w:numId w:val="3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Es besteht Haftungsausschluss von Seiten des Verpächters gegenüber dem Pächter </w:t>
      </w:r>
      <w:r w:rsidR="006141B6" w:rsidRPr="00B64EE8">
        <w:rPr>
          <w:sz w:val="20"/>
          <w:szCs w:val="20"/>
        </w:rPr>
        <w:t>für parkende</w:t>
      </w:r>
      <w:r w:rsidRPr="00B64EE8">
        <w:rPr>
          <w:sz w:val="20"/>
          <w:szCs w:val="20"/>
        </w:rPr>
        <w:t xml:space="preserve"> oder dauerhaft abgestellte Fahrzeuge wie KFZ, Wohnmobil, Wohnwagen oder Anhänger sowie deponierter Fischereiausrüstung oder Einrichtungen am Angelplatz und Saison-Parkplatz. Dies betrifft vorwiegende Schäden die durch Wind, Sturm, Hochwasser oder Diebstahl eintreten können. </w:t>
      </w:r>
      <w:r w:rsidRPr="00B64EE8">
        <w:rPr>
          <w:b/>
          <w:sz w:val="20"/>
          <w:szCs w:val="20"/>
        </w:rPr>
        <w:t xml:space="preserve">Es wird dem Pächter dringend empfohlen eine geeignete Versicherung dafür abzuschließen.  </w:t>
      </w:r>
    </w:p>
    <w:p w14:paraId="6113038D" w14:textId="77777777" w:rsidR="004420AC" w:rsidRPr="00B64EE8" w:rsidRDefault="00210DAD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Der Lizenznehmer haftet für alle von ihm verursachten Schäden die am Ufer, im Gewässer oder am Fischbestand entstehen. Im Schadensfall trifft den Lizenznehmer</w:t>
      </w:r>
      <w:r w:rsidR="00B02219" w:rsidRPr="00B64EE8">
        <w:rPr>
          <w:sz w:val="20"/>
          <w:szCs w:val="20"/>
        </w:rPr>
        <w:t xml:space="preserve"> </w:t>
      </w:r>
      <w:r w:rsidRPr="00B64EE8">
        <w:rPr>
          <w:sz w:val="20"/>
          <w:szCs w:val="20"/>
        </w:rPr>
        <w:t>die Beweislast dafür, dass ihn kein Verschulden trifft.</w:t>
      </w:r>
    </w:p>
    <w:p w14:paraId="6FBE370E" w14:textId="5BD635F0" w:rsidR="004420AC" w:rsidRPr="00B64EE8" w:rsidRDefault="004420AC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>Auf Schwimmer ist besondere Rücksicht zu nehmen.</w:t>
      </w:r>
    </w:p>
    <w:p w14:paraId="026CDEBE" w14:textId="4AE630CB" w:rsidR="00210DAD" w:rsidRPr="00B64EE8" w:rsidRDefault="004420AC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B64EE8">
        <w:rPr>
          <w:sz w:val="20"/>
          <w:szCs w:val="20"/>
        </w:rPr>
        <w:t xml:space="preserve">Nachtruhe ist um 22 Uhr. </w:t>
      </w:r>
    </w:p>
    <w:p w14:paraId="19183A0E" w14:textId="5B625834" w:rsidR="00B64EE8" w:rsidRDefault="00DF7430" w:rsidP="00B64EE8">
      <w:pPr>
        <w:pStyle w:val="Listenabsatz"/>
        <w:numPr>
          <w:ilvl w:val="0"/>
          <w:numId w:val="1"/>
        </w:numPr>
        <w:ind w:left="426" w:hanging="567"/>
        <w:rPr>
          <w:sz w:val="20"/>
          <w:szCs w:val="20"/>
        </w:rPr>
      </w:pPr>
      <w:r w:rsidRPr="0047061F">
        <w:rPr>
          <w:sz w:val="20"/>
          <w:szCs w:val="20"/>
        </w:rPr>
        <w:t>Den Anweisungen der Aufsicht ist Folge zu leisten.</w:t>
      </w:r>
    </w:p>
    <w:p w14:paraId="4B7D2DEB" w14:textId="77777777" w:rsidR="00C82367" w:rsidRDefault="00C82367" w:rsidP="00C82367">
      <w:pPr>
        <w:rPr>
          <w:sz w:val="20"/>
          <w:szCs w:val="20"/>
        </w:rPr>
      </w:pPr>
    </w:p>
    <w:p w14:paraId="69DBD620" w14:textId="77777777" w:rsidR="00C82367" w:rsidRPr="00C82367" w:rsidRDefault="00C82367" w:rsidP="00C82367">
      <w:pPr>
        <w:rPr>
          <w:sz w:val="20"/>
          <w:szCs w:val="20"/>
        </w:rPr>
      </w:pPr>
    </w:p>
    <w:p w14:paraId="066035E7" w14:textId="77777777" w:rsidR="0047061F" w:rsidRPr="0047061F" w:rsidRDefault="0047061F" w:rsidP="0047061F">
      <w:pPr>
        <w:ind w:left="432"/>
        <w:rPr>
          <w:sz w:val="20"/>
          <w:szCs w:val="20"/>
        </w:rPr>
      </w:pPr>
    </w:p>
    <w:p w14:paraId="5E6DB8B1" w14:textId="6719D5A7" w:rsidR="00521F70" w:rsidRPr="0015251D" w:rsidRDefault="00B2550B" w:rsidP="00C82367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113158">
        <w:t xml:space="preserve"> </w:t>
      </w:r>
      <w:r w:rsidR="00113158">
        <w:tab/>
      </w:r>
      <w:r w:rsidR="00B32F95">
        <w:t xml:space="preserve"> </w:t>
      </w:r>
      <w:r w:rsidR="00CA6340">
        <w:rPr>
          <w:sz w:val="24"/>
          <w:szCs w:val="24"/>
        </w:rPr>
        <w:tab/>
      </w:r>
      <w:r w:rsidR="00CA6340">
        <w:rPr>
          <w:sz w:val="24"/>
          <w:szCs w:val="24"/>
        </w:rPr>
        <w:tab/>
      </w:r>
      <w:r w:rsidR="00CA6340">
        <w:rPr>
          <w:sz w:val="24"/>
          <w:szCs w:val="24"/>
        </w:rPr>
        <w:tab/>
      </w:r>
      <w:r w:rsidR="00CA6340" w:rsidRPr="00811E20">
        <w:rPr>
          <w:b/>
          <w:bCs/>
          <w:sz w:val="18"/>
          <w:szCs w:val="18"/>
        </w:rPr>
        <w:t xml:space="preserve"> </w:t>
      </w:r>
    </w:p>
    <w:sectPr w:rsidR="00521F70" w:rsidRPr="0015251D" w:rsidSect="00811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11BE" w14:textId="77777777" w:rsidR="00AD784F" w:rsidRDefault="00AD784F" w:rsidP="00C82367">
      <w:pPr>
        <w:spacing w:after="0" w:line="240" w:lineRule="auto"/>
      </w:pPr>
      <w:r>
        <w:separator/>
      </w:r>
    </w:p>
  </w:endnote>
  <w:endnote w:type="continuationSeparator" w:id="0">
    <w:p w14:paraId="03610268" w14:textId="77777777" w:rsidR="00AD784F" w:rsidRDefault="00AD784F" w:rsidP="00C8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C42A" w14:textId="77777777" w:rsidR="00C82367" w:rsidRDefault="00C823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D42A" w14:textId="77777777" w:rsidR="00C82367" w:rsidRDefault="00C823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F8D6" w14:textId="77777777" w:rsidR="00C82367" w:rsidRDefault="00C823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573D" w14:textId="77777777" w:rsidR="00AD784F" w:rsidRDefault="00AD784F" w:rsidP="00C82367">
      <w:pPr>
        <w:spacing w:after="0" w:line="240" w:lineRule="auto"/>
      </w:pPr>
      <w:r>
        <w:separator/>
      </w:r>
    </w:p>
  </w:footnote>
  <w:footnote w:type="continuationSeparator" w:id="0">
    <w:p w14:paraId="6781D6A2" w14:textId="77777777" w:rsidR="00AD784F" w:rsidRDefault="00AD784F" w:rsidP="00C8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29B8" w14:textId="7C45E8C1" w:rsidR="00C82367" w:rsidRDefault="00000000">
    <w:pPr>
      <w:pStyle w:val="Kopfzeile"/>
    </w:pPr>
    <w:r>
      <w:rPr>
        <w:noProof/>
      </w:rPr>
      <w:pict w14:anchorId="08C4AD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863813" o:spid="_x0000_s1026" type="#_x0000_t136" style="position:absolute;margin-left:0;margin-top:0;width:688.7pt;height:60.75pt;rotation:315;z-index:-251655168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Bestimmungen Pacht-Angelplätze ab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2761" w14:textId="202E7FD3" w:rsidR="00C82367" w:rsidRDefault="00000000">
    <w:pPr>
      <w:pStyle w:val="Kopfzeile"/>
    </w:pPr>
    <w:r>
      <w:rPr>
        <w:noProof/>
      </w:rPr>
      <w:pict w14:anchorId="051C0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863814" o:spid="_x0000_s1027" type="#_x0000_t136" style="position:absolute;margin-left:0;margin-top:0;width:718.5pt;height:60.75pt;rotation:315;z-index:-251653120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Bestimmungen Pacht-Angelplätze ab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DC68" w14:textId="7CC4AA5C" w:rsidR="00C82367" w:rsidRDefault="00000000">
    <w:pPr>
      <w:pStyle w:val="Kopfzeile"/>
    </w:pPr>
    <w:r>
      <w:rPr>
        <w:noProof/>
      </w:rPr>
      <w:pict w14:anchorId="0EAF79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863812" o:spid="_x0000_s1025" type="#_x0000_t136" style="position:absolute;margin-left:0;margin-top:0;width:688.7pt;height:60.7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Calibri&quot;;font-size:1pt" string="Bestimmungen Pacht-Angelplätze ab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2AE"/>
    <w:multiLevelType w:val="hybridMultilevel"/>
    <w:tmpl w:val="4F480C12"/>
    <w:lvl w:ilvl="0" w:tplc="6E1CA66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C9C67ED"/>
    <w:multiLevelType w:val="hybridMultilevel"/>
    <w:tmpl w:val="5D5AC2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050300">
    <w:abstractNumId w:val="0"/>
  </w:num>
  <w:num w:numId="2" w16cid:durableId="1605990118">
    <w:abstractNumId w:val="1"/>
  </w:num>
  <w:num w:numId="3" w16cid:durableId="531769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70"/>
    <w:rsid w:val="00113158"/>
    <w:rsid w:val="00124094"/>
    <w:rsid w:val="0015251D"/>
    <w:rsid w:val="001B6C15"/>
    <w:rsid w:val="00210DAD"/>
    <w:rsid w:val="00241A12"/>
    <w:rsid w:val="002C141F"/>
    <w:rsid w:val="002C1D6F"/>
    <w:rsid w:val="00317022"/>
    <w:rsid w:val="00325F4E"/>
    <w:rsid w:val="00397401"/>
    <w:rsid w:val="003B03F0"/>
    <w:rsid w:val="003D7A10"/>
    <w:rsid w:val="00433EDF"/>
    <w:rsid w:val="004420AC"/>
    <w:rsid w:val="00452C17"/>
    <w:rsid w:val="0047061F"/>
    <w:rsid w:val="004D3888"/>
    <w:rsid w:val="0050797D"/>
    <w:rsid w:val="00521F70"/>
    <w:rsid w:val="00560B7C"/>
    <w:rsid w:val="00566386"/>
    <w:rsid w:val="005A0583"/>
    <w:rsid w:val="006141B6"/>
    <w:rsid w:val="00660660"/>
    <w:rsid w:val="00767261"/>
    <w:rsid w:val="0079329B"/>
    <w:rsid w:val="007A581F"/>
    <w:rsid w:val="007B7AC1"/>
    <w:rsid w:val="007D06FB"/>
    <w:rsid w:val="00811E20"/>
    <w:rsid w:val="008A00FA"/>
    <w:rsid w:val="008D59DF"/>
    <w:rsid w:val="008E2F26"/>
    <w:rsid w:val="008E3583"/>
    <w:rsid w:val="008F014A"/>
    <w:rsid w:val="008F3C4A"/>
    <w:rsid w:val="008F6EF9"/>
    <w:rsid w:val="009135F3"/>
    <w:rsid w:val="0091595D"/>
    <w:rsid w:val="009A14D0"/>
    <w:rsid w:val="009D5010"/>
    <w:rsid w:val="009D7C07"/>
    <w:rsid w:val="009F0207"/>
    <w:rsid w:val="009F20C0"/>
    <w:rsid w:val="00A02393"/>
    <w:rsid w:val="00A84A2F"/>
    <w:rsid w:val="00AA40AC"/>
    <w:rsid w:val="00AB2001"/>
    <w:rsid w:val="00AD027F"/>
    <w:rsid w:val="00AD60E9"/>
    <w:rsid w:val="00AD784F"/>
    <w:rsid w:val="00B02219"/>
    <w:rsid w:val="00B2550B"/>
    <w:rsid w:val="00B32F95"/>
    <w:rsid w:val="00B537D1"/>
    <w:rsid w:val="00B6086B"/>
    <w:rsid w:val="00B64EE8"/>
    <w:rsid w:val="00B96C16"/>
    <w:rsid w:val="00B974FD"/>
    <w:rsid w:val="00BE33A2"/>
    <w:rsid w:val="00C63059"/>
    <w:rsid w:val="00C82367"/>
    <w:rsid w:val="00C95170"/>
    <w:rsid w:val="00CA6340"/>
    <w:rsid w:val="00CB5A26"/>
    <w:rsid w:val="00CD3E6F"/>
    <w:rsid w:val="00CD6474"/>
    <w:rsid w:val="00D2689C"/>
    <w:rsid w:val="00D5303B"/>
    <w:rsid w:val="00DF7430"/>
    <w:rsid w:val="00E83D12"/>
    <w:rsid w:val="00E96FEF"/>
    <w:rsid w:val="00EA5A4F"/>
    <w:rsid w:val="00EB784D"/>
    <w:rsid w:val="00ED0037"/>
    <w:rsid w:val="00FB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2A423"/>
  <w15:docId w15:val="{C07A8BD5-1709-4780-B119-01998E2F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6C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1F70"/>
    <w:pPr>
      <w:ind w:left="720"/>
      <w:contextualSpacing/>
    </w:pPr>
  </w:style>
  <w:style w:type="paragraph" w:styleId="KeinLeerraum">
    <w:name w:val="No Spacing"/>
    <w:uiPriority w:val="1"/>
    <w:qFormat/>
    <w:rsid w:val="0011315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8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2367"/>
  </w:style>
  <w:style w:type="paragraph" w:styleId="Fuzeile">
    <w:name w:val="footer"/>
    <w:basedOn w:val="Standard"/>
    <w:link w:val="FuzeileZchn"/>
    <w:uiPriority w:val="99"/>
    <w:unhideWhenUsed/>
    <w:rsid w:val="00C8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E6E14-6C37-44BF-8621-AB40EF72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Kronawettleitner</cp:lastModifiedBy>
  <cp:revision>3</cp:revision>
  <cp:lastPrinted>2020-01-29T07:55:00Z</cp:lastPrinted>
  <dcterms:created xsi:type="dcterms:W3CDTF">2026-01-12T18:43:00Z</dcterms:created>
  <dcterms:modified xsi:type="dcterms:W3CDTF">2026-01-19T15:12:00Z</dcterms:modified>
</cp:coreProperties>
</file>